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33D" w:rsidRDefault="0011033D">
      <w:pPr>
        <w:spacing w:after="120" w:line="360" w:lineRule="auto"/>
        <w:jc w:val="center"/>
        <w:rPr>
          <w:rFonts w:ascii="FrankRuehl" w:eastAsia="FrankRuehl" w:hAnsi="FrankRuehl" w:cs="FrankRuehl"/>
          <w:b/>
          <w:color w:val="002060"/>
          <w:sz w:val="40"/>
          <w:szCs w:val="40"/>
          <w:u w:val="single"/>
        </w:rPr>
      </w:pPr>
      <w:bookmarkStart w:id="0" w:name="_GoBack"/>
      <w:bookmarkEnd w:id="0"/>
    </w:p>
    <w:p w:rsidR="0011033D" w:rsidRDefault="00CD785D">
      <w:pPr>
        <w:spacing w:after="120" w:line="360" w:lineRule="auto"/>
        <w:jc w:val="center"/>
        <w:rPr>
          <w:rFonts w:ascii="FrankRuehl" w:eastAsia="FrankRuehl" w:hAnsi="FrankRuehl" w:cs="FrankRuehl"/>
          <w:b/>
          <w:color w:val="002060"/>
          <w:sz w:val="40"/>
          <w:szCs w:val="40"/>
          <w:u w:val="single"/>
        </w:rPr>
      </w:pPr>
      <w:r>
        <w:rPr>
          <w:rFonts w:ascii="FrankRuehl" w:eastAsia="FrankRuehl" w:hAnsi="FrankRuehl" w:cs="FrankRuehl"/>
          <w:b/>
          <w:color w:val="002060"/>
          <w:sz w:val="40"/>
          <w:szCs w:val="40"/>
          <w:u w:val="single"/>
          <w:rtl/>
        </w:rPr>
        <w:t>תקציר גזר-דין</w:t>
      </w:r>
    </w:p>
    <w:p w:rsidR="0011033D" w:rsidRDefault="00CD785D">
      <w:pPr>
        <w:spacing w:after="120"/>
        <w:jc w:val="center"/>
        <w:rPr>
          <w:rFonts w:ascii="FrankRuehl" w:eastAsia="FrankRuehl" w:hAnsi="FrankRuehl" w:cs="FrankRuehl"/>
          <w:b/>
          <w:color w:val="002060"/>
          <w:sz w:val="32"/>
          <w:szCs w:val="32"/>
        </w:rPr>
      </w:pPr>
      <w:r>
        <w:rPr>
          <w:rFonts w:ascii="FrankRuehl" w:eastAsia="FrankRuehl" w:hAnsi="FrankRuehl" w:cs="FrankRuehl"/>
          <w:b/>
          <w:color w:val="002060"/>
          <w:sz w:val="32"/>
          <w:szCs w:val="32"/>
          <w:rtl/>
        </w:rPr>
        <w:t>תיק ת"פ 29536-05-23 מדינת ישראל נגד בלום</w:t>
      </w:r>
    </w:p>
    <w:p w:rsidR="0011033D" w:rsidRDefault="00CD785D">
      <w:pPr>
        <w:spacing w:after="120"/>
        <w:jc w:val="center"/>
        <w:rPr>
          <w:rFonts w:ascii="FrankRuehl" w:eastAsia="FrankRuehl" w:hAnsi="FrankRuehl" w:cs="FrankRuehl"/>
          <w:b/>
          <w:color w:val="002060"/>
          <w:sz w:val="32"/>
          <w:szCs w:val="32"/>
        </w:rPr>
      </w:pPr>
      <w:r>
        <w:rPr>
          <w:rFonts w:ascii="FrankRuehl" w:eastAsia="FrankRuehl" w:hAnsi="FrankRuehl" w:cs="FrankRuehl"/>
          <w:b/>
          <w:color w:val="002060"/>
          <w:sz w:val="32"/>
          <w:szCs w:val="32"/>
          <w:u w:val="single"/>
          <w:rtl/>
        </w:rPr>
        <w:t>השופט יובל ליברדו, בית המשפט המחוזי באר-שבע</w:t>
      </w:r>
    </w:p>
    <w:p w:rsidR="0011033D" w:rsidRDefault="0011033D">
      <w:pPr>
        <w:spacing w:line="360" w:lineRule="auto"/>
        <w:rPr>
          <w:rFonts w:ascii="FrankRuehl" w:eastAsia="FrankRuehl" w:hAnsi="FrankRuehl" w:cs="FrankRuehl"/>
          <w:color w:val="002060"/>
          <w:sz w:val="27"/>
          <w:szCs w:val="27"/>
        </w:rPr>
      </w:pPr>
    </w:p>
    <w:p w:rsidR="0011033D" w:rsidRDefault="00CD785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r>
        <w:rPr>
          <w:rFonts w:ascii="FrankRuehl" w:eastAsia="FrankRuehl" w:hAnsi="FrankRuehl" w:cs="FrankRuehl"/>
          <w:color w:val="002060"/>
          <w:sz w:val="27"/>
          <w:szCs w:val="27"/>
          <w:rtl/>
        </w:rPr>
        <w:t xml:space="preserve">בית המשפט המחוזי בב"ש (כבוד השופט יובל ליבדרו)  גזר את דינה של יאנה בלום שהורשעה לאחר הודאתה בהמתתו בקלות דעת של הפעוט מעין דומנוביץ' ז"ל במסגרת תאונת </w:t>
      </w:r>
      <w:r>
        <w:rPr>
          <w:rFonts w:ascii="FrankRuehl" w:eastAsia="FrankRuehl" w:hAnsi="FrankRuehl" w:cs="FrankRuehl"/>
          <w:color w:val="002060"/>
          <w:sz w:val="27"/>
          <w:szCs w:val="27"/>
          <w:rtl/>
        </w:rPr>
        <w:t>דרכים קטלנית ובגרימת חבלות חמורות לשלושה נוסעים נוספים, הוריו ואחיו של הפעוט המנוח שהיו עמו ברכב.</w:t>
      </w:r>
    </w:p>
    <w:p w:rsidR="0011033D" w:rsidRDefault="0011033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p>
    <w:p w:rsidR="0011033D" w:rsidRDefault="00CD785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r>
        <w:rPr>
          <w:rFonts w:ascii="FrankRuehl" w:eastAsia="FrankRuehl" w:hAnsi="FrankRuehl" w:cs="FrankRuehl"/>
          <w:color w:val="002060"/>
          <w:sz w:val="27"/>
          <w:szCs w:val="27"/>
          <w:rtl/>
        </w:rPr>
        <w:t>בגזר הדין עמד בית המשפט על נסיבותיו החמורות של האירוע. בבוקר יום 26.04.23, לאחר לילה של עבודה כסלקטורית במסיבה, החלה הנאשמת לנהוג בכביש 40 מ"חאן השיירות" לכי</w:t>
      </w:r>
      <w:r>
        <w:rPr>
          <w:rFonts w:ascii="FrankRuehl" w:eastAsia="FrankRuehl" w:hAnsi="FrankRuehl" w:cs="FrankRuehl"/>
          <w:color w:val="002060"/>
          <w:sz w:val="27"/>
          <w:szCs w:val="27"/>
          <w:rtl/>
        </w:rPr>
        <w:t xml:space="preserve">וון צפון, כשהיא שיכורה מאלכוהול שצרכה זמן קצר לפני שהחלה בנהיגה. </w:t>
      </w:r>
    </w:p>
    <w:p w:rsidR="0011033D" w:rsidRDefault="00CD785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r>
        <w:rPr>
          <w:rFonts w:ascii="FrankRuehl" w:eastAsia="FrankRuehl" w:hAnsi="FrankRuehl" w:cs="FrankRuehl"/>
          <w:color w:val="002060"/>
          <w:sz w:val="27"/>
          <w:szCs w:val="27"/>
          <w:rtl/>
        </w:rPr>
        <w:lastRenderedPageBreak/>
        <w:t>בשלב מסוים של הנסיעה, הנאשמת החלה בנהיגה מסוכנת בכביש, סיכנה כלי רכב שונים, סטתה מנתיב נסיעתה לנתיב הנסיעה הנגדי והמשיכה בנהיגה עד שהתנגשה חזיתית ברכב של משפחת המנוח.</w:t>
      </w:r>
    </w:p>
    <w:p w:rsidR="0011033D" w:rsidRDefault="0011033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p>
    <w:p w:rsidR="0011033D" w:rsidRDefault="00CD785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r>
        <w:rPr>
          <w:rFonts w:ascii="FrankRuehl" w:eastAsia="FrankRuehl" w:hAnsi="FrankRuehl" w:cs="FrankRuehl"/>
          <w:color w:val="002060"/>
          <w:sz w:val="27"/>
          <w:szCs w:val="27"/>
          <w:rtl/>
        </w:rPr>
        <w:tab/>
        <w:t>בית המשפט, שקבע שמדוב</w:t>
      </w:r>
      <w:r>
        <w:rPr>
          <w:rFonts w:ascii="FrankRuehl" w:eastAsia="FrankRuehl" w:hAnsi="FrankRuehl" w:cs="FrankRuehl"/>
          <w:color w:val="002060"/>
          <w:sz w:val="27"/>
          <w:szCs w:val="27"/>
          <w:rtl/>
        </w:rPr>
        <w:t xml:space="preserve">ר בנהיגה מסוכנת ממושכת בכביש בין-עירוני ולא בטעות רגעית, גזר על הנאשמת, שהורשעה בעבירות של המתה בקלות דעת, חבלה חמורה (שלוש עבירות), נהיגה בשכרות ונהיגה ללא רישיון רכב תקף עונש של 8 שנות מאסר בפועל, פיצויים בסך של 100,000 ₪, פסילת רישיון נהיגה למשך 20 שנה </w:t>
      </w:r>
      <w:r>
        <w:rPr>
          <w:rFonts w:ascii="FrankRuehl" w:eastAsia="FrankRuehl" w:hAnsi="FrankRuehl" w:cs="FrankRuehl"/>
          <w:color w:val="002060"/>
          <w:sz w:val="27"/>
          <w:szCs w:val="27"/>
          <w:rtl/>
        </w:rPr>
        <w:t>ומאסר על תנאי.</w:t>
      </w:r>
    </w:p>
    <w:p w:rsidR="0011033D" w:rsidRDefault="0011033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p>
    <w:p w:rsidR="0011033D" w:rsidRDefault="00CD785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r>
        <w:rPr>
          <w:rFonts w:ascii="FrankRuehl" w:eastAsia="FrankRuehl" w:hAnsi="FrankRuehl" w:cs="FrankRuehl"/>
          <w:color w:val="002060"/>
          <w:sz w:val="27"/>
          <w:szCs w:val="27"/>
          <w:rtl/>
        </w:rPr>
        <w:t>בית המשפט קבע כי בהתנהלותה פגעה הנאשמת פגיעה קשה בערך של קדושת חיי האדם ובערכים מוגנים נוספים. כן עמד על האובדן העצום, על הסבל הרב ועל הזמן הארוך שיידרש לשיקומה של המשפחה, פיזית ונפשית. בית המשפט התייחס גם לענישה המקובלת במקרים דומים (שאינה</w:t>
      </w:r>
      <w:r>
        <w:rPr>
          <w:rFonts w:ascii="FrankRuehl" w:eastAsia="FrankRuehl" w:hAnsi="FrankRuehl" w:cs="FrankRuehl"/>
          <w:color w:val="002060"/>
          <w:sz w:val="27"/>
          <w:szCs w:val="27"/>
          <w:rtl/>
        </w:rPr>
        <w:t xml:space="preserve"> מתיישבת עם העמדות העונשיות שהציגו ב"כ הצדדים). </w:t>
      </w:r>
    </w:p>
    <w:p w:rsidR="0011033D" w:rsidRDefault="00CD785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bookmarkStart w:id="1" w:name="_gjdgxs" w:colFirst="0" w:colLast="0"/>
      <w:bookmarkEnd w:id="1"/>
      <w:r>
        <w:rPr>
          <w:rFonts w:ascii="FrankRuehl" w:eastAsia="FrankRuehl" w:hAnsi="FrankRuehl" w:cs="FrankRuehl"/>
          <w:color w:val="002060"/>
          <w:sz w:val="27"/>
          <w:szCs w:val="27"/>
          <w:rtl/>
        </w:rPr>
        <w:t xml:space="preserve">בגזר הדין נדרש בית המשפט לנסיבותיה האישיות – משפחתיות הקשות והחריגות של הנאשמת ובכללן לאובדן אביה שנהרג בפיגוע הטרור </w:t>
      </w:r>
      <w:r>
        <w:rPr>
          <w:rFonts w:ascii="FrankRuehl" w:eastAsia="FrankRuehl" w:hAnsi="FrankRuehl" w:cs="FrankRuehl"/>
          <w:color w:val="002060"/>
          <w:sz w:val="27"/>
          <w:szCs w:val="27"/>
          <w:rtl/>
        </w:rPr>
        <w:lastRenderedPageBreak/>
        <w:t>בדולפינריום עת הייתה כבת 3 ולהשלכות החמורות של אירוע זה ושל אירועים קשים נוספים שחוותה ביל</w:t>
      </w:r>
      <w:r>
        <w:rPr>
          <w:rFonts w:ascii="FrankRuehl" w:eastAsia="FrankRuehl" w:hAnsi="FrankRuehl" w:cs="FrankRuehl"/>
          <w:color w:val="002060"/>
          <w:sz w:val="27"/>
          <w:szCs w:val="27"/>
          <w:rtl/>
        </w:rPr>
        <w:t>דותה על מישורי חייה השונים.</w:t>
      </w:r>
    </w:p>
    <w:p w:rsidR="0011033D" w:rsidRDefault="00CD785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r>
        <w:rPr>
          <w:rFonts w:ascii="FrankRuehl" w:eastAsia="FrankRuehl" w:hAnsi="FrankRuehl" w:cs="FrankRuehl"/>
          <w:color w:val="002060"/>
          <w:sz w:val="27"/>
          <w:szCs w:val="27"/>
          <w:rtl/>
        </w:rPr>
        <w:t xml:space="preserve">לצד זאת, בית המשפט הדגיש כי נסיבותיה האישיות האמורות והעובדה שמדובר בנאשמת צעירה, נעדרת עבר פלילי, אשר לקחה אחריות על מעשיה נסוגות מפני שיקולי הגמול וההרתעה הנדרשים במקרה חמור זה. </w:t>
      </w:r>
    </w:p>
    <w:p w:rsidR="0011033D" w:rsidRDefault="00CD785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r>
        <w:rPr>
          <w:rFonts w:ascii="FrankRuehl" w:eastAsia="FrankRuehl" w:hAnsi="FrankRuehl" w:cs="FrankRuehl"/>
          <w:color w:val="002060"/>
          <w:sz w:val="27"/>
          <w:szCs w:val="27"/>
          <w:rtl/>
        </w:rPr>
        <w:t>בית המשפט המחוזי הטיל את מלוא האחריות לתאונה ול</w:t>
      </w:r>
      <w:r>
        <w:rPr>
          <w:rFonts w:ascii="FrankRuehl" w:eastAsia="FrankRuehl" w:hAnsi="FrankRuehl" w:cs="FrankRuehl"/>
          <w:color w:val="002060"/>
          <w:sz w:val="27"/>
          <w:szCs w:val="27"/>
          <w:rtl/>
        </w:rPr>
        <w:t xml:space="preserve">תוצאותיה הקשות על הנאשמת, עמד על השילוב הקטלני שבין צריכת אלכוהול לנהיגה, על המשאבים הרבים המושקעים בהסברה בעיקר בקרב נהגים צעירים שיוצאים לבלות, על המשמעות של הסיסמא שהוטבעה ש"אם שותים לא נוהגים". </w:t>
      </w:r>
    </w:p>
    <w:p w:rsidR="0011033D" w:rsidRDefault="00CD785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r>
        <w:rPr>
          <w:rFonts w:ascii="FrankRuehl" w:eastAsia="FrankRuehl" w:hAnsi="FrankRuehl" w:cs="FrankRuehl"/>
          <w:color w:val="002060"/>
          <w:sz w:val="27"/>
          <w:szCs w:val="27"/>
          <w:rtl/>
        </w:rPr>
        <w:t xml:space="preserve">כן עמד על הצורך בשילוב כוחות של כלל הגורמים במאבק בתופעה </w:t>
      </w:r>
      <w:r>
        <w:rPr>
          <w:rFonts w:ascii="FrankRuehl" w:eastAsia="FrankRuehl" w:hAnsi="FrankRuehl" w:cs="FrankRuehl"/>
          <w:color w:val="002060"/>
          <w:sz w:val="27"/>
          <w:szCs w:val="27"/>
          <w:rtl/>
        </w:rPr>
        <w:t xml:space="preserve">של נהיגה בשכרות: הן בהסברה, הן באכיפה והן בענישה מרתיעה על מנת למנוע תאונות קשות הנובעות מכך כמו תאונה זו, אשר טלטלה משפחה שלמה מקצה לקצה, משפחה שנסעה לבילוי בחג העצמאות, נסיעה שהסתיימה בתוצאות טרגיות. </w:t>
      </w:r>
    </w:p>
    <w:p w:rsidR="0011033D" w:rsidRDefault="00CD785D">
      <w:pPr>
        <w:pBdr>
          <w:top w:val="nil"/>
          <w:left w:val="nil"/>
          <w:bottom w:val="nil"/>
          <w:right w:val="nil"/>
          <w:between w:val="nil"/>
        </w:pBdr>
        <w:spacing w:after="0" w:line="360" w:lineRule="auto"/>
        <w:ind w:left="84"/>
        <w:jc w:val="both"/>
        <w:rPr>
          <w:rFonts w:ascii="FrankRuehl" w:eastAsia="FrankRuehl" w:hAnsi="FrankRuehl" w:cs="FrankRuehl"/>
          <w:color w:val="002060"/>
          <w:sz w:val="27"/>
          <w:szCs w:val="27"/>
        </w:rPr>
      </w:pPr>
      <w:r>
        <w:rPr>
          <w:rFonts w:ascii="FrankRuehl" w:eastAsia="FrankRuehl" w:hAnsi="FrankRuehl" w:cs="FrankRuehl"/>
          <w:color w:val="002060"/>
          <w:sz w:val="27"/>
          <w:szCs w:val="27"/>
          <w:rtl/>
        </w:rPr>
        <w:lastRenderedPageBreak/>
        <w:t>גם במקרה טרגי זה, מדובר בתאונה שיכולה הייתה להימנע ול</w:t>
      </w:r>
      <w:r>
        <w:rPr>
          <w:rFonts w:ascii="FrankRuehl" w:eastAsia="FrankRuehl" w:hAnsi="FrankRuehl" w:cs="FrankRuehl"/>
          <w:color w:val="002060"/>
          <w:sz w:val="27"/>
          <w:szCs w:val="27"/>
          <w:rtl/>
        </w:rPr>
        <w:t>חסוך סבל רב לולא אותו "גורם אנושי"  שהחליט להתעלם מחוקי התנועה ולהפוך את הכביש לזירת מוות.</w:t>
      </w:r>
    </w:p>
    <w:p w:rsidR="0011033D" w:rsidRDefault="0011033D">
      <w:pPr>
        <w:spacing w:line="360" w:lineRule="auto"/>
        <w:rPr>
          <w:rFonts w:ascii="FrankRuehl" w:eastAsia="FrankRuehl" w:hAnsi="FrankRuehl" w:cs="FrankRuehl"/>
          <w:b/>
          <w:color w:val="002060"/>
          <w:sz w:val="27"/>
          <w:szCs w:val="27"/>
        </w:rPr>
      </w:pPr>
    </w:p>
    <w:p w:rsidR="0011033D" w:rsidRDefault="00CD785D">
      <w:pPr>
        <w:spacing w:after="120" w:line="360" w:lineRule="auto"/>
        <w:jc w:val="center"/>
        <w:rPr>
          <w:rFonts w:ascii="FrankRuehl" w:eastAsia="FrankRuehl" w:hAnsi="FrankRuehl" w:cs="FrankRuehl"/>
          <w:b/>
          <w:color w:val="002060"/>
          <w:sz w:val="27"/>
          <w:szCs w:val="27"/>
        </w:rPr>
      </w:pPr>
      <w:r>
        <w:rPr>
          <w:rFonts w:ascii="FrankRuehl" w:eastAsia="FrankRuehl" w:hAnsi="FrankRuehl" w:cs="FrankRuehl"/>
          <w:b/>
          <w:color w:val="002060"/>
          <w:sz w:val="27"/>
          <w:szCs w:val="27"/>
          <w:rtl/>
        </w:rPr>
        <w:t>*** התקציר אינו בא להחליף את פסק-הדין, הנוסח המחייב הוא זה של פסק-הדין המלא ***</w:t>
      </w:r>
    </w:p>
    <w:sectPr w:rsidR="0011033D">
      <w:headerReference w:type="default" r:id="rId6"/>
      <w:footerReference w:type="default" r:id="rId7"/>
      <w:pgSz w:w="11906" w:h="16838"/>
      <w:pgMar w:top="1440" w:right="1800" w:bottom="1440" w:left="18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85D" w:rsidRDefault="00CD785D">
      <w:pPr>
        <w:spacing w:after="0" w:line="240" w:lineRule="auto"/>
      </w:pPr>
      <w:r>
        <w:separator/>
      </w:r>
    </w:p>
  </w:endnote>
  <w:endnote w:type="continuationSeparator" w:id="0">
    <w:p w:rsidR="00CD785D" w:rsidRDefault="00CD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33D" w:rsidRDefault="00CD785D">
    <w:pPr>
      <w:tabs>
        <w:tab w:val="center" w:pos="4153"/>
        <w:tab w:val="right" w:pos="8306"/>
      </w:tabs>
      <w:spacing w:after="0" w:line="240" w:lineRule="auto"/>
      <w:rPr>
        <w:rFonts w:ascii="Times New Roman" w:eastAsia="Times New Roman" w:hAnsi="Times New Roman" w:cs="Times New Roman"/>
        <w:b/>
        <w:color w:val="000080"/>
        <w:sz w:val="24"/>
        <w:szCs w:val="24"/>
      </w:rPr>
    </w:pPr>
    <w:r>
      <w:rPr>
        <w:rFonts w:ascii="Times New Roman" w:eastAsia="Times New Roman" w:hAnsi="Times New Roman" w:cs="Times New Roman"/>
        <w:b/>
        <w:color w:val="000080"/>
        <w:sz w:val="24"/>
        <w:szCs w:val="24"/>
      </w:rPr>
      <w:t>________________________________________________________________</w:t>
    </w:r>
  </w:p>
  <w:p w:rsidR="0011033D" w:rsidRDefault="00CD785D">
    <w:pPr>
      <w:tabs>
        <w:tab w:val="center" w:pos="4153"/>
        <w:tab w:val="right" w:pos="8306"/>
      </w:tabs>
      <w:spacing w:after="0" w:line="240" w:lineRule="auto"/>
      <w:jc w:val="center"/>
      <w:rPr>
        <w:rFonts w:ascii="Times New Roman" w:eastAsia="Times New Roman" w:hAnsi="Times New Roman" w:cs="Times New Roman"/>
        <w:b/>
        <w:color w:val="000080"/>
        <w:sz w:val="24"/>
        <w:szCs w:val="24"/>
      </w:rPr>
    </w:pPr>
    <w:r>
      <w:rPr>
        <w:rFonts w:ascii="Times New Roman" w:eastAsia="Times New Roman" w:hAnsi="Times New Roman" w:cs="Times New Roman"/>
        <w:b/>
        <w:color w:val="000080"/>
        <w:sz w:val="24"/>
        <w:szCs w:val="24"/>
        <w:rtl/>
      </w:rPr>
      <w:t>בית משפט העליון | דרך השופט מאיר שמגר 1 | קרית בן גוריון | ירושלים</w:t>
    </w:r>
  </w:p>
  <w:p w:rsidR="0011033D" w:rsidRDefault="00CD785D">
    <w:pPr>
      <w:tabs>
        <w:tab w:val="center" w:pos="4153"/>
        <w:tab w:val="right" w:pos="8306"/>
      </w:tabs>
      <w:spacing w:after="0" w:line="240" w:lineRule="auto"/>
      <w:jc w:val="center"/>
      <w:rPr>
        <w:rFonts w:ascii="Times New Roman" w:eastAsia="Times New Roman" w:hAnsi="Times New Roman" w:cs="Times New Roman"/>
        <w:b/>
        <w:color w:val="000080"/>
        <w:sz w:val="24"/>
        <w:szCs w:val="24"/>
      </w:rPr>
    </w:pPr>
    <w:r>
      <w:rPr>
        <w:rFonts w:ascii="Times New Roman" w:eastAsia="Times New Roman" w:hAnsi="Times New Roman" w:cs="Times New Roman"/>
        <w:b/>
        <w:color w:val="000080"/>
        <w:sz w:val="24"/>
        <w:szCs w:val="24"/>
        <w:rtl/>
      </w:rPr>
      <w:t xml:space="preserve">טל: 074-7480412                       דוא"ל:  </w:t>
    </w:r>
    <w:hyperlink r:id="rId1">
      <w:r>
        <w:rPr>
          <w:rFonts w:ascii="Times New Roman" w:eastAsia="Times New Roman" w:hAnsi="Times New Roman" w:cs="Times New Roman"/>
          <w:b/>
          <w:color w:val="0000FF"/>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85D" w:rsidRDefault="00CD785D">
      <w:pPr>
        <w:spacing w:after="0" w:line="240" w:lineRule="auto"/>
      </w:pPr>
      <w:r>
        <w:separator/>
      </w:r>
    </w:p>
  </w:footnote>
  <w:footnote w:type="continuationSeparator" w:id="0">
    <w:p w:rsidR="00CD785D" w:rsidRDefault="00CD7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33D" w:rsidRDefault="00CD785D">
    <w:pPr>
      <w:tabs>
        <w:tab w:val="center" w:pos="4153"/>
        <w:tab w:val="right" w:pos="8306"/>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extent cx="523875" cy="619125"/>
          <wp:effectExtent l="0" t="0" r="0" b="0"/>
          <wp:docPr id="1" name="image1.png" descr="תיאור: semel"/>
          <wp:cNvGraphicFramePr/>
          <a:graphic xmlns:a="http://schemas.openxmlformats.org/drawingml/2006/main">
            <a:graphicData uri="http://schemas.openxmlformats.org/drawingml/2006/picture">
              <pic:pic xmlns:pic="http://schemas.openxmlformats.org/drawingml/2006/picture">
                <pic:nvPicPr>
                  <pic:cNvPr id="0" name="image1.png" descr="תיאור: semel"/>
                  <pic:cNvPicPr preferRelativeResize="0"/>
                </pic:nvPicPr>
                <pic:blipFill>
                  <a:blip r:embed="rId1"/>
                  <a:srcRect/>
                  <a:stretch>
                    <a:fillRect/>
                  </a:stretch>
                </pic:blipFill>
                <pic:spPr>
                  <a:xfrm>
                    <a:off x="0" y="0"/>
                    <a:ext cx="523875" cy="619125"/>
                  </a:xfrm>
                  <a:prstGeom prst="rect">
                    <a:avLst/>
                  </a:prstGeom>
                  <a:ln/>
                </pic:spPr>
              </pic:pic>
            </a:graphicData>
          </a:graphic>
        </wp:inline>
      </w:drawing>
    </w:r>
    <w:r>
      <w:rPr>
        <w:rFonts w:ascii="Century" w:eastAsia="Century" w:hAnsi="Century" w:cs="Century"/>
        <w:sz w:val="20"/>
        <w:szCs w:val="20"/>
      </w:rPr>
      <w:t xml:space="preserve">                                            </w:t>
    </w:r>
  </w:p>
  <w:p w:rsidR="0011033D" w:rsidRDefault="00CD785D">
    <w:pPr>
      <w:tabs>
        <w:tab w:val="center" w:pos="4153"/>
        <w:tab w:val="right" w:pos="8306"/>
      </w:tabs>
      <w:spacing w:after="0" w:line="240" w:lineRule="auto"/>
      <w:jc w:val="center"/>
      <w:rPr>
        <w:rFonts w:ascii="Times New Roman" w:eastAsia="Times New Roman" w:hAnsi="Times New Roman" w:cs="Times New Roman"/>
        <w:b/>
        <w:color w:val="000080"/>
        <w:sz w:val="28"/>
        <w:szCs w:val="28"/>
      </w:rPr>
    </w:pPr>
    <w:r>
      <w:rPr>
        <w:rFonts w:ascii="Times New Roman" w:eastAsia="Times New Roman" w:hAnsi="Times New Roman" w:cs="Times New Roman"/>
        <w:b/>
        <w:color w:val="000080"/>
        <w:sz w:val="28"/>
        <w:szCs w:val="28"/>
        <w:rtl/>
      </w:rPr>
      <w:t>מערכת בתי המשפט</w:t>
    </w:r>
  </w:p>
  <w:p w:rsidR="0011033D" w:rsidRDefault="00CD785D">
    <w:pPr>
      <w:tabs>
        <w:tab w:val="center" w:pos="4153"/>
        <w:tab w:val="right" w:pos="8306"/>
      </w:tabs>
      <w:spacing w:after="0" w:line="240" w:lineRule="auto"/>
      <w:jc w:val="center"/>
      <w:rPr>
        <w:rFonts w:ascii="Times New Roman" w:eastAsia="Times New Roman" w:hAnsi="Times New Roman" w:cs="Times New Roman"/>
        <w:b/>
        <w:color w:val="000080"/>
        <w:sz w:val="28"/>
        <w:szCs w:val="28"/>
      </w:rPr>
    </w:pPr>
    <w:r>
      <w:rPr>
        <w:rFonts w:ascii="Times New Roman" w:eastAsia="Times New Roman" w:hAnsi="Times New Roman" w:cs="Times New Roman"/>
        <w:b/>
        <w:color w:val="000080"/>
        <w:sz w:val="28"/>
        <w:szCs w:val="28"/>
        <w:rtl/>
      </w:rPr>
      <w:t>דוברות והסברה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3D"/>
    <w:rsid w:val="00083EE7"/>
    <w:rsid w:val="0011033D"/>
    <w:rsid w:val="00CD785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docId w15:val="{5BFFD68E-9CF5-4F24-8FE0-AC3AAB1D9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he-IL"/>
      </w:rPr>
    </w:rPrDefault>
    <w:pPrDefault>
      <w:pPr>
        <w:bidi/>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412</Words>
  <Characters>2060</Characters>
  <Application>Microsoft Office Word</Application>
  <DocSecurity>0</DocSecurity>
  <Lines>17</Lines>
  <Paragraphs>4</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גרמאו מנגיסטו</dc:creator>
  <cp:lastModifiedBy>גרמאו מנגיסטו</cp:lastModifiedBy>
  <cp:revision>2</cp:revision>
  <dcterms:created xsi:type="dcterms:W3CDTF">2024-09-16T10:44:00Z</dcterms:created>
  <dcterms:modified xsi:type="dcterms:W3CDTF">2024-09-16T10:44:00Z</dcterms:modified>
</cp:coreProperties>
</file>